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CAN WE GET IT BACK? · LESSON 5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34"/>
          <w:szCs w:val="34"/>
        </w:rPr>
        <w:t xml:space="preserve">Reading the evidence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4900"/>
        <w:gridCol w:w="2400"/>
        <w:gridCol w:w="2300"/>
      </w:tblGrid>
      <w:tr>
        <w:tc>
          <w:tcPr>
            <w:tcW w:type="dxa" w:w="49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Name</w:t>
            </w:r>
          </w:p>
        </w:tc>
        <w:tc>
          <w:tcPr>
            <w:tcW w:type="dxa" w:w="24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Group</w:t>
            </w:r>
          </w:p>
        </w:tc>
        <w:tc>
          <w:tcPr>
            <w:tcW w:type="dxa" w:w="23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Date</w:t>
            </w:r>
          </w:p>
        </w:tc>
      </w:tr>
    </w:tbl>
    <w:p>
      <w:pPr>
        <w:pBdr>
          <w:top w:val="single" w:color="E4E0D6" w:sz="2" w:space="6"/>
          <w:bottom w:val="single" w:color="E4E0D6" w:sz="2" w:space="6"/>
          <w:left w:val="single" w:color="A32020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A32020"/>
          <w:sz w:val="19"/>
          <w:szCs w:val="19"/>
        </w:rPr>
        <w:t xml:space="preserve">Safety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Rusted nails are sharp and rust carries a tetanus risk. TONGS OR GLOVES ONLY — never bare hands. Count your nails out and count them back in. Tell the teacher straight away if anyone gets scratched.</w:t>
      </w:r>
    </w:p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1 · Drying — and why we are being this fussy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One drop of water weighs 0.05 g. The mass your nails have actually gained might only be 0.06 g. So a single drop left behind could DOUBLE your result and you would never know. Water is not rust, and the scale cannot tell the difference.</w:t>
      </w:r>
    </w:p>
    <w:p>
      <w:pPr>
        <w:pStyle w:val="ListParagraph"/>
        <w:numPr>
          <w:ilvl w:val="0"/>
          <w:numId w:val="2"/>
        </w:numPr>
        <w:spacing w:after="35" w:before="35" w:line="25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Lift your nails out with tongs, keeping each jar’s three together and labelled.</w:t>
      </w:r>
    </w:p>
    <w:p>
      <w:pPr>
        <w:pStyle w:val="ListParagraph"/>
        <w:numPr>
          <w:ilvl w:val="0"/>
          <w:numId w:val="2"/>
        </w:numPr>
        <w:spacing w:after="35" w:before="35" w:line="25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Rinse briefly under the tap.</w:t>
      </w:r>
    </w:p>
    <w:p>
      <w:pPr>
        <w:pStyle w:val="ListParagraph"/>
        <w:numPr>
          <w:ilvl w:val="0"/>
          <w:numId w:val="2"/>
        </w:numPr>
        <w:spacing w:after="35" w:before="35" w:line="25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Blot hard with paper towel. Then blot again.</w:t>
      </w:r>
    </w:p>
    <w:p>
      <w:pPr>
        <w:pStyle w:val="ListParagraph"/>
        <w:numPr>
          <w:ilvl w:val="0"/>
          <w:numId w:val="2"/>
        </w:numPr>
        <w:spacing w:after="35" w:before="35" w:line="25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Spread them on your tray and leave them until they look AND feel completely dry.</w:t>
      </w:r>
    </w:p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2 · The numbers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Weigh all three nails together, exactly as you did in Week 1. Record to TWO DECIMAL PLACES, always — 13.80 g, not 13.8 g.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900"/>
        <w:gridCol w:w="2233"/>
        <w:gridCol w:w="2233"/>
        <w:gridCol w:w="2234"/>
      </w:tblGrid>
      <w:tr>
        <w:trPr>
          <w:tblHeader/>
        </w:trPr>
        <w:tc>
          <w:tcPr>
            <w:tcW w:type="dxa" w:w="29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233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Jar 1</w:t>
            </w:r>
          </w:p>
        </w:tc>
        <w:tc>
          <w:tcPr>
            <w:tcW w:type="dxa" w:w="2233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Jar 2</w:t>
            </w:r>
          </w:p>
        </w:tc>
        <w:tc>
          <w:tcPr>
            <w:tcW w:type="dxa" w:w="2234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Jar 3</w:t>
            </w:r>
          </w:p>
        </w:tc>
      </w:tr>
      <w:tr>
        <w:tc>
          <w:tcPr>
            <w:tcW w:type="dxa" w:w="2900"/>
            <w:shd w:fill="FBF9F4" w:val="clear"/>
            <w:tcMar>
              <w:top w:type="dxa" w:w="175"/>
              <w:left w:type="dxa" w:w="110"/>
              <w:bottom w:type="dxa" w:w="17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Mass in Week 1 (g)</w:t>
            </w:r>
          </w:p>
        </w:tc>
        <w:tc>
          <w:tcPr>
            <w:tcW w:type="dxa" w:w="2233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233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234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shd w:fill="FBF9F4" w:val="clear"/>
            <w:tcMar>
              <w:top w:type="dxa" w:w="175"/>
              <w:left w:type="dxa" w:w="110"/>
              <w:bottom w:type="dxa" w:w="17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Mass today (g)</w:t>
            </w:r>
          </w:p>
        </w:tc>
        <w:tc>
          <w:tcPr>
            <w:tcW w:type="dxa" w:w="2233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233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234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Mar>
              <w:top w:type="dxa" w:w="175"/>
              <w:left w:type="dxa" w:w="110"/>
              <w:bottom w:type="dxa" w:w="17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19"/>
                <w:szCs w:val="19"/>
              </w:rPr>
              <w:t xml:space="preserve">DIFFERENCE (g)</w:t>
            </w:r>
          </w:p>
        </w:tc>
        <w:tc>
          <w:tcPr>
            <w:tcW w:type="dxa" w:w="2233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233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234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pBdr>
          <w:top w:val="single" w:color="E4E0D6" w:sz="2" w:space="6"/>
          <w:bottom w:val="single" w:color="E4E0D6" w:sz="2" w:space="6"/>
          <w:left w:val="single" w:color="0E7C7B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0E7C7B"/>
          <w:sz w:val="19"/>
          <w:szCs w:val="19"/>
        </w:rPr>
        <w:t xml:space="preserve">The check that tells you whether to trust any of it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The dry sealed jar should weigh what it weighed in Week 1, give or take a division. If it has GAINED, the drying has failed and every other number in the class is too high.</w:t>
      </w:r>
    </w:p>
    <w:p>
      <w:pPr>
        <w:spacing w:after="30" w:before="110" w:line="26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Did your nails get heavier, lighter, or stay the same?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30" w:before="70" w:line="26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Is that what you expected five weeks ago? Say what you thought would happen.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30" w:before="70" w:line="26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Nothing was added to your jar. So where did the extra mass come from?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LESSON 5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30"/>
          <w:szCs w:val="30"/>
        </w:rPr>
        <w:t xml:space="preserve">3 · Graph your three jars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One bar per jar. Write your own scale up the left-hand side — look at your biggest number first and choose a scale that fits it.</w:t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5A6478"/>
          <w:sz w:val="16"/>
          <w:szCs w:val="16"/>
        </w:rPr>
        <w:t xml:space="preserve">Mass gained (g)</w:t>
      </w:r>
    </w:p>
    <w:tbl>
      <w:tblPr>
        <w:tblW w:type="dxa" w:w="9600"/>
        <w:tblBorders>
          <w:top w:val="single" w:color="C0C6D2" w:sz="6"/>
          <w:left w:val="single" w:color="C0C6D2" w:sz="6"/>
          <w:bottom w:val="single" w:color="C0C6D2" w:sz="6"/>
          <w:right w:val="single" w:color="C0C6D2" w:sz="6"/>
          <w:insideH w:val="single" w:color="C0C6D2" w:sz="2"/>
          <w:insideV w:val="single" w:color="C0C6D2" w:sz="2"/>
        </w:tblBorders>
      </w:tblPr>
      <w:tblGrid>
        <w:gridCol w:w="1500"/>
        <w:gridCol w:w="2700"/>
        <w:gridCol w:w="2700"/>
        <w:gridCol w:w="2700"/>
      </w:tblGrid>
      <w:tr>
        <w:tc>
          <w:tcPr>
            <w:tcW w:type="dxa" w:w="1500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Write your scale</w:t>
            </w:r>
          </w:p>
        </w:tc>
        <w:tc>
          <w:tcPr>
            <w:tcW w:type="dxa" w:w="2700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72"/>
              <w:left w:type="dxa" w:w="110"/>
              <w:bottom w:type="dxa" w:w="72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Jar 1</w:t>
            </w:r>
          </w:p>
        </w:tc>
        <w:tc>
          <w:tcPr>
            <w:tcW w:type="dxa" w:w="270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Jar 2</w:t>
            </w:r>
          </w:p>
        </w:tc>
        <w:tc>
          <w:tcPr>
            <w:tcW w:type="dxa" w:w="270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Jar 3</w:t>
            </w:r>
          </w:p>
        </w:tc>
      </w:tr>
    </w:tbl>
    <w:p>
      <w:pPr>
        <w:spacing w:after="30" w:before="110" w:line="26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Are your three bars the same height? Should they be — you set all three up identically?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30" w:before="70" w:line="26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How different would two jars have to be before you would call it a REAL difference rather than just wobble?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pBdr>
          <w:top w:val="single" w:color="E4E0D6" w:sz="2" w:space="6"/>
          <w:bottom w:val="single" w:color="E4E0D6" w:sz="2" w:space="6"/>
          <w:left w:val="single" w:color="E8930C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9A5F00"/>
          <w:sz w:val="19"/>
          <w:szCs w:val="19"/>
        </w:rPr>
        <w:t xml:space="preserve">Why we ran three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If you had only run one jar, you would have no idea whether your number was typical or a fluke. Three tells you how much your own results wobble — and that tells you how big a difference has to be before it means anything.</w:t>
      </w:r>
    </w:p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LESSON 5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30"/>
          <w:szCs w:val="30"/>
        </w:rPr>
        <w:t xml:space="preserve">4 · The whole class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Six conditions on one graph. Use the average of each group’s three jars.</w:t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5A6478"/>
          <w:sz w:val="16"/>
          <w:szCs w:val="16"/>
        </w:rPr>
        <w:t xml:space="preserve">Mass gained (g)</w:t>
      </w:r>
    </w:p>
    <w:tbl>
      <w:tblPr>
        <w:tblW w:type="dxa" w:w="9600"/>
        <w:tblBorders>
          <w:top w:val="single" w:color="C0C6D2" w:sz="6"/>
          <w:left w:val="single" w:color="C0C6D2" w:sz="6"/>
          <w:bottom w:val="single" w:color="C0C6D2" w:sz="6"/>
          <w:right w:val="single" w:color="C0C6D2" w:sz="6"/>
          <w:insideH w:val="single" w:color="C0C6D2" w:sz="2"/>
          <w:insideV w:val="single" w:color="C0C6D2" w:sz="2"/>
        </w:tblBorders>
      </w:tblPr>
      <w:tblGrid>
        <w:gridCol w:w="1500"/>
        <w:gridCol w:w="1350"/>
        <w:gridCol w:w="1350"/>
        <w:gridCol w:w="1350"/>
        <w:gridCol w:w="1350"/>
        <w:gridCol w:w="1350"/>
        <w:gridCol w:w="1350"/>
      </w:tblGrid>
      <w:tr>
        <w:tc>
          <w:tcPr>
            <w:tcW w:type="dxa" w:w="1500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Write your scale</w:t>
            </w:r>
          </w:p>
        </w:tc>
        <w:tc>
          <w:tcPr>
            <w:tcW w:type="dxa" w:w="1350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A</w:t>
            </w:r>
          </w:p>
        </w:tc>
        <w:tc>
          <w:tcPr>
            <w:tcW w:type="dxa" w:w="135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B</w:t>
            </w:r>
          </w:p>
        </w:tc>
        <w:tc>
          <w:tcPr>
            <w:tcW w:type="dxa" w:w="135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C</w:t>
            </w:r>
          </w:p>
        </w:tc>
        <w:tc>
          <w:tcPr>
            <w:tcW w:type="dxa" w:w="135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D</w:t>
            </w:r>
          </w:p>
        </w:tc>
        <w:tc>
          <w:tcPr>
            <w:tcW w:type="dxa" w:w="135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E</w:t>
            </w:r>
          </w:p>
        </w:tc>
        <w:tc>
          <w:tcPr>
            <w:tcW w:type="dxa" w:w="135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F</w:t>
            </w:r>
          </w:p>
        </w:tc>
      </w:tr>
    </w:tbl>
    <w:p>
      <w:pPr>
        <w:spacing w:after="30" w:before="80" w:line="260"/>
      </w:pPr>
      <w:r>
        <w:rPr>
          <w:rFonts w:ascii="Calibri" w:cs="Calibri" w:eastAsia="Calibri" w:hAnsi="Calibri"/>
          <w:b/>
          <w:bCs/>
          <w:color w:val="222222"/>
          <w:sz w:val="18"/>
          <w:szCs w:val="18"/>
        </w:rPr>
        <w:t xml:space="preserve">Write what each letter stands for: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What the graph says</w:t>
      </w:r>
    </w:p>
    <w:p>
      <w:pPr>
        <w:pStyle w:val="ListParagraph"/>
        <w:numPr>
          <w:ilvl w:val="0"/>
          <w:numId w:val="2"/>
        </w:numPr>
        <w:spacing w:after="35" w:before="35" w:line="25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Which condition rusted the most?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35" w:before="35" w:line="25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Which TWO conditions barely rusted at all? What do they have in common — and what is different between them?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35" w:before="35" w:line="25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Compare the half-submerged jar with the fully submerged one. Which won, and were you expecting that?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35" w:before="35" w:line="25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Write the pattern in one sentence. What does rusting need?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5" w:before="8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pBdr>
          <w:top w:val="single" w:color="E4E0D6" w:sz="2" w:space="6"/>
          <w:bottom w:val="single" w:color="E4E0D6" w:sz="2" w:space="6"/>
          <w:left w:val="single" w:color="E8930C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9A5F00"/>
          <w:sz w:val="19"/>
          <w:szCs w:val="19"/>
        </w:rPr>
        <w:t xml:space="preserve">Push me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Express each gain as a percentage of the starting mass. Does that change which condition won? Then: is the gap BETWEEN conditions bigger than the gap between your own three jars — and what does your answer mean for how much you trust the result?</w:t>
      </w:r>
    </w:p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LESSON 5 · SUPPORTED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34"/>
          <w:szCs w:val="34"/>
        </w:rPr>
        <w:t xml:space="preserve">Graphing the rust results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4900"/>
        <w:gridCol w:w="2400"/>
        <w:gridCol w:w="2300"/>
      </w:tblGrid>
      <w:tr>
        <w:tc>
          <w:tcPr>
            <w:tcW w:type="dxa" w:w="49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Name</w:t>
            </w:r>
          </w:p>
        </w:tc>
        <w:tc>
          <w:tcPr>
            <w:tcW w:type="dxa" w:w="24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Group</w:t>
            </w:r>
          </w:p>
        </w:tc>
        <w:tc>
          <w:tcPr>
            <w:tcW w:type="dxa" w:w="23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Date</w:t>
            </w:r>
          </w:p>
        </w:tc>
      </w:tr>
    </w:tbl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My three jars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Colour in one bar for each jar. The scale is already drawn for you.</w:t>
      </w:r>
    </w:p>
    <w:tbl>
      <w:tblPr>
        <w:tblW w:type="dxa" w:w="9600"/>
        <w:tblBorders>
          <w:top w:val="single" w:color="C0C6D2" w:sz="6"/>
          <w:left w:val="single" w:color="C0C6D2" w:sz="6"/>
          <w:bottom w:val="single" w:color="C0C6D2" w:sz="6"/>
          <w:right w:val="single" w:color="C0C6D2" w:sz="6"/>
          <w:insideH w:val="single" w:color="C0C6D2" w:sz="2"/>
          <w:insideV w:val="single" w:color="C0C6D2" w:sz="2"/>
        </w:tblBorders>
      </w:tblPr>
      <w:tblGrid>
        <w:gridCol w:w="1500"/>
        <w:gridCol w:w="2700"/>
        <w:gridCol w:w="2700"/>
        <w:gridCol w:w="2700"/>
      </w:tblGrid>
      <w:tr>
        <w:tc>
          <w:tcPr>
            <w:tcW w:type="dxa" w:w="15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0.30 g</w:t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0.25 g</w:t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0.20 g</w:t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0.15 g</w:t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0.10 g</w:t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0.05 g</w:t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 g</w:t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Mar>
              <w:top w:type="dxa" w:w="135"/>
              <w:left w:type="dxa" w:w="110"/>
              <w:bottom w:type="dxa" w:w="13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Jar 1</w:t>
            </w:r>
          </w:p>
        </w:tc>
        <w:tc>
          <w:tcPr>
            <w:tcW w:type="dxa" w:w="270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Jar 2</w:t>
            </w:r>
          </w:p>
        </w:tc>
        <w:tc>
          <w:tcPr>
            <w:tcW w:type="dxa" w:w="270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Jar 3</w:t>
            </w:r>
          </w:p>
        </w:tc>
      </w:tr>
    </w:tbl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The whole class</w:t>
      </w:r>
    </w:p>
    <w:tbl>
      <w:tblPr>
        <w:tblW w:type="dxa" w:w="9600"/>
        <w:tblBorders>
          <w:top w:val="single" w:color="C0C6D2" w:sz="6"/>
          <w:left w:val="single" w:color="C0C6D2" w:sz="6"/>
          <w:bottom w:val="single" w:color="C0C6D2" w:sz="6"/>
          <w:right w:val="single" w:color="C0C6D2" w:sz="6"/>
          <w:insideH w:val="single" w:color="C0C6D2" w:sz="2"/>
          <w:insideV w:val="single" w:color="C0C6D2" w:sz="2"/>
        </w:tblBorders>
      </w:tblPr>
      <w:tblGrid>
        <w:gridCol w:w="1500"/>
        <w:gridCol w:w="1350"/>
        <w:gridCol w:w="1350"/>
        <w:gridCol w:w="1350"/>
        <w:gridCol w:w="1350"/>
        <w:gridCol w:w="1350"/>
        <w:gridCol w:w="1350"/>
      </w:tblGrid>
      <w:tr>
        <w:tc>
          <w:tcPr>
            <w:tcW w:type="dxa" w:w="150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0.30 g</w:t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0.25 g</w:t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0.20 g</w:t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0.15 g</w:t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0.10 g</w:t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0.05 g</w:t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>0 g</w:t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Mar>
              <w:top w:type="dxa" w:w="130"/>
              <w:left w:type="dxa" w:w="110"/>
              <w:bottom w:type="dxa" w:w="13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A</w:t>
            </w:r>
          </w:p>
        </w:tc>
        <w:tc>
          <w:tcPr>
            <w:tcW w:type="dxa" w:w="135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B</w:t>
            </w:r>
          </w:p>
        </w:tc>
        <w:tc>
          <w:tcPr>
            <w:tcW w:type="dxa" w:w="135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C</w:t>
            </w:r>
          </w:p>
        </w:tc>
        <w:tc>
          <w:tcPr>
            <w:tcW w:type="dxa" w:w="135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D</w:t>
            </w:r>
          </w:p>
        </w:tc>
        <w:tc>
          <w:tcPr>
            <w:tcW w:type="dxa" w:w="135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E</w:t>
            </w:r>
          </w:p>
        </w:tc>
        <w:tc>
          <w:tcPr>
            <w:tcW w:type="dxa" w:w="135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F</w:t>
            </w:r>
          </w:p>
        </w:tc>
      </w:tr>
    </w:tbl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Finish these sentences</w:t>
      </w:r>
    </w:p>
    <w:p>
      <w:pPr>
        <w:spacing w:after="70" w:before="10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The condition that rusted the MOST was ____________________________ .</w:t>
      </w:r>
    </w:p>
    <w:p>
      <w:pPr>
        <w:spacing w:after="70" w:before="9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The conditions that barely rusted were ____________________________ .</w:t>
      </w:r>
    </w:p>
    <w:p>
      <w:pPr>
        <w:spacing w:after="70" w:before="9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One of those had no ______________ and the other had no ______________ .</w:t>
      </w:r>
    </w:p>
    <w:p>
      <w:pPr>
        <w:spacing w:after="70" w:before="9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This tells me that rusting needs ________________________________ and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________________________________ at the same time.</w:t>
      </w:r>
    </w:p>
    <w:p>
      <w:pPr>
        <w:spacing w:after="70" w:before="9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My nails got ______________ because _____________________________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________________________________________________________________ .</w:t>
      </w:r>
    </w:p>
    <w:p>
      <w:pPr>
        <w:pBdr>
          <w:top w:val="single" w:color="E4E0D6" w:sz="2" w:space="6"/>
          <w:bottom w:val="single" w:color="E4E0D6" w:sz="2" w:space="6"/>
          <w:left w:val="single" w:color="0E7C7B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0E7C7B"/>
          <w:sz w:val="19"/>
          <w:szCs w:val="19"/>
        </w:rPr>
        <w:t xml:space="preserve">Word bank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heavier  ·  lighter  ·  water  ·  oxygen  ·  air  ·  joined the nail  ·  half-submerged  ·  dry sealed  ·  under oil  ·  new substance</w:t>
      </w: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8"/>
        <w:sz w:val="14"/>
        <w:szCs w:val="14"/>
      </w:rPr>
      <w:t xml:space="preserve">Lesson 5 · Reading the evidence · Year 6 Science · Term 4 2026 · St Joseph's Primary School, Corinda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3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 Student Sheets — Reading the evidence</dc:title>
  <dc:creator>David Cox</dc:creator>
  <cp:lastModifiedBy>Un-named</cp:lastModifiedBy>
  <cp:revision>1</cp:revision>
  <dcterms:created xsi:type="dcterms:W3CDTF">2026-09-21T00:53:00.595Z</dcterms:created>
  <dcterms:modified xsi:type="dcterms:W3CDTF">2026-09-21T00:53:00.595Z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